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pPr>
      <w:r>
        <w:rPr>
          <w:rFonts w:ascii="Arial" w:hAnsi="Arial"/>
          <w:b/>
          <w:color w:val="0096B4"/>
          <w:sz w:val="24"/>
        </w:rPr>
        <w:t>QUAD SOLUTIONS</w:t>
      </w:r>
    </w:p>
    <w:p>
      <w:pPr>
        <w:spacing w:before="0" w:after="120"/>
      </w:pPr>
      <w:r>
        <w:rPr>
          <w:rFonts w:ascii="Arial" w:hAnsi="Arial"/>
          <w:b/>
          <w:color w:val="102A4D"/>
          <w:sz w:val="48"/>
        </w:rPr>
        <w:t>Cyber Risk &amp; Digital Trust Report 2026</w:t>
      </w:r>
    </w:p>
    <w:p>
      <w:pPr>
        <w:spacing w:before="0" w:after="320"/>
      </w:pPr>
      <w:r>
        <w:rPr>
          <w:rFonts w:ascii="Arial" w:hAnsi="Arial"/>
          <w:i/>
          <w:color w:val="46505F"/>
          <w:sz w:val="28"/>
        </w:rPr>
        <w:t>Lessons from Real Cyber Incidents Every Organisation Should Learn</w:t>
      </w:r>
    </w:p>
    <w:p>
      <w:pPr>
        <w:spacing w:before="0" w:after="480"/>
      </w:pPr>
      <w:r>
        <w:rPr>
          <w:rFonts w:ascii="Arial" w:hAnsi="Arial"/>
          <w:b/>
          <w:color w:val="102A4D"/>
          <w:sz w:val="20"/>
        </w:rPr>
        <w:t>Prepared by: Quad Solutions  |  Governance. Risk. Resilience.</w:t>
      </w:r>
    </w:p>
    <w:p>
      <w:pPr>
        <w:keepNext/>
        <w:spacing w:before="400" w:after="160"/>
      </w:pPr>
      <w:r>
        <w:rPr>
          <w:rFonts w:ascii="Arial" w:hAnsi="Arial"/>
          <w:b/>
          <w:color w:val="102A4D"/>
          <w:sz w:val="32"/>
        </w:rPr>
        <w:t>Executive Summary</w:t>
      </w:r>
    </w:p>
    <w:p>
      <w:pPr>
        <w:spacing w:before="0" w:after="120" w:line="276" w:lineRule="auto"/>
      </w:pPr>
      <w:r>
        <w:rPr>
          <w:rFonts w:ascii="Calibri" w:hAnsi="Calibri"/>
          <w:color w:val="1E1E1E"/>
          <w:sz w:val="22"/>
        </w:rPr>
        <w:t>Cybersecurity has become one of the most significant business risks facing organisations today. High-profile attacks across financial institutions, healthcare providers, governments, universities and technology companies demonstrate that cyber incidents are no longer isolated IT problems—they are enterprise-wide governance challenges.</w:t>
      </w:r>
    </w:p>
    <w:p>
      <w:pPr>
        <w:spacing w:before="0" w:after="120" w:line="276" w:lineRule="auto"/>
      </w:pPr>
      <w:r>
        <w:rPr>
          <w:rFonts w:ascii="Calibri" w:hAnsi="Calibri"/>
          <w:color w:val="1E1E1E"/>
          <w:sz w:val="22"/>
        </w:rPr>
        <w:t>Recent attacks have disrupted operations, exposed sensitive personal information, damaged organisational reputations and resulted in substantial financial losses. While attack techniques continue to evolve, many successful breaches can be traced back to familiar weaknesses, including inadequate governance, poor identity and access management, ineffective third-party oversight, insufficient employee awareness and weak incident response capabilities.</w:t>
      </w:r>
    </w:p>
    <w:p>
      <w:pPr>
        <w:spacing w:before="0" w:after="120" w:line="276" w:lineRule="auto"/>
      </w:pPr>
      <w:r>
        <w:rPr>
          <w:rFonts w:ascii="Calibri" w:hAnsi="Calibri"/>
          <w:color w:val="1E1E1E"/>
          <w:sz w:val="22"/>
        </w:rPr>
        <w:t>This report examines selected real-world cyber incidents and highlights the governance lessons they offer. It also provides practical recommendations to help organisations strengthen resilience and reduce cyber risk.</w:t>
      </w:r>
    </w:p>
    <w:p>
      <w:pPr>
        <w:keepNext/>
        <w:spacing w:before="400" w:after="160"/>
      </w:pPr>
      <w:r>
        <w:rPr>
          <w:rFonts w:ascii="Arial" w:hAnsi="Arial"/>
          <w:b/>
          <w:color w:val="102A4D"/>
          <w:sz w:val="32"/>
        </w:rPr>
        <w:t>The Current Cyber Threat Landscape</w:t>
      </w:r>
    </w:p>
    <w:p>
      <w:pPr>
        <w:spacing w:before="0" w:after="120" w:line="276" w:lineRule="auto"/>
      </w:pPr>
      <w:r>
        <w:rPr>
          <w:rFonts w:ascii="Calibri" w:hAnsi="Calibri"/>
          <w:color w:val="1E1E1E"/>
          <w:sz w:val="22"/>
        </w:rPr>
        <w:t>Organisations now operate in an environment where cyber threats are persistent, sophisticated and increasingly automated. Criminal groups, nation-state actors and financially motivated attackers are exploiting cloud environments, remote working, third-party suppliers and human behaviour to gain unauthorised access to systems and data.</w:t>
      </w:r>
    </w:p>
    <w:tbl>
      <w:tblPr>
        <w:tblW w:type="auto" w:w="0"/>
        <w:jc w:val="center"/>
        <w:tblLook w:firstColumn="1" w:firstRow="1" w:lastColumn="0" w:lastRow="0" w:noHBand="0" w:noVBand="1" w:val="04A0"/>
      </w:tblPr>
      <w:tblGrid>
        <w:gridCol w:w="9360"/>
      </w:tblGrid>
      <w:tr>
        <w:tc>
          <w:tcPr>
            <w:tcW w:type="dxa" w:w="9360"/>
            <w:shd w:fill="EBF3F7"/>
            <w:tcBorders>
              <w:left w:val="single" w:sz="36" w:space="0" w:color="0096B4"/>
              <w:top w:val="none"/>
              <w:bottom w:val="none"/>
              <w:right w:val="none"/>
            </w:tcBorders>
            <w:tcMar>
              <w:top w:w="140" w:type="dxa"/>
              <w:bottom w:w="140" w:type="dxa"/>
              <w:left w:w="200" w:type="dxa"/>
              <w:right w:w="200" w:type="dxa"/>
            </w:tcMar>
          </w:tcPr>
          <w:p>
            <w:pPr>
              <w:spacing w:before="0" w:after="120"/>
            </w:pPr>
            <w:r>
              <w:rPr>
                <w:rFonts w:ascii="Arial" w:hAnsi="Arial"/>
                <w:b/>
                <w:color w:val="102A4D"/>
                <w:sz w:val="22"/>
              </w:rPr>
              <w:t>Top Cyber Threats Impacting Modern Enterprises</w:t>
            </w:r>
          </w:p>
          <w:p>
            <w:pPr>
              <w:spacing w:before="0" w:after="80"/>
            </w:pPr>
            <w:r>
              <w:rPr>
                <w:rFonts w:ascii="Calibri" w:hAnsi="Calibri"/>
                <w:color w:val="1E1E1E"/>
                <w:sz w:val="21"/>
              </w:rPr>
              <w:t>•  Ransomware &amp; Extortion Schemes</w:t>
            </w:r>
          </w:p>
          <w:p>
            <w:pPr>
              <w:spacing w:before="0" w:after="80"/>
            </w:pPr>
            <w:r>
              <w:rPr>
                <w:rFonts w:ascii="Calibri" w:hAnsi="Calibri"/>
                <w:color w:val="1E1E1E"/>
                <w:sz w:val="21"/>
              </w:rPr>
              <w:t>•  Business Email Compromise (BEC)</w:t>
            </w:r>
          </w:p>
          <w:p>
            <w:pPr>
              <w:spacing w:before="0" w:after="80"/>
            </w:pPr>
            <w:r>
              <w:rPr>
                <w:rFonts w:ascii="Calibri" w:hAnsi="Calibri"/>
                <w:color w:val="1E1E1E"/>
                <w:sz w:val="21"/>
              </w:rPr>
              <w:t>•  Supply Chain &amp; Third-Party Vulnerabilities</w:t>
            </w:r>
          </w:p>
          <w:p>
            <w:pPr>
              <w:spacing w:before="0" w:after="80"/>
            </w:pPr>
            <w:r>
              <w:rPr>
                <w:rFonts w:ascii="Calibri" w:hAnsi="Calibri"/>
                <w:color w:val="1E1E1E"/>
                <w:sz w:val="21"/>
              </w:rPr>
              <w:t>•  Insider Threats &amp; Privileged Misuse</w:t>
            </w:r>
          </w:p>
          <w:p>
            <w:pPr>
              <w:spacing w:before="0" w:after="80"/>
            </w:pPr>
            <w:r>
              <w:rPr>
                <w:rFonts w:ascii="Calibri" w:hAnsi="Calibri"/>
                <w:color w:val="1E1E1E"/>
                <w:sz w:val="21"/>
              </w:rPr>
              <w:t>•  Credential Theft &amp; Session Hijacking</w:t>
            </w:r>
          </w:p>
          <w:p>
            <w:pPr>
              <w:spacing w:before="0" w:after="80"/>
            </w:pPr>
            <w:r>
              <w:rPr>
                <w:rFonts w:ascii="Calibri" w:hAnsi="Calibri"/>
                <w:color w:val="1E1E1E"/>
                <w:sz w:val="21"/>
              </w:rPr>
              <w:t>•  Phishing &amp; Sophisticated Social Engineering</w:t>
            </w:r>
          </w:p>
          <w:p>
            <w:pPr>
              <w:spacing w:before="0" w:after="80"/>
            </w:pPr>
            <w:r>
              <w:rPr>
                <w:rFonts w:ascii="Calibri" w:hAnsi="Calibri"/>
                <w:color w:val="1E1E1E"/>
                <w:sz w:val="21"/>
              </w:rPr>
              <w:t>•  AI-Assisted Cybercrime &amp; Automated Exploitation</w:t>
            </w:r>
          </w:p>
          <w:p>
            <w:pPr>
              <w:spacing w:before="0" w:after="0"/>
            </w:pPr>
            <w:r>
              <w:rPr>
                <w:rFonts w:ascii="Calibri" w:hAnsi="Calibri"/>
                <w:color w:val="1E1E1E"/>
                <w:sz w:val="21"/>
              </w:rPr>
              <w:t>•  Data Theft &amp; Double-Extortion Tactics</w:t>
            </w:r>
          </w:p>
        </w:tc>
      </w:tr>
    </w:tbl>
    <w:p>
      <w:pPr>
        <w:spacing w:after="120"/>
      </w:pPr>
    </w:p>
    <w:p>
      <w:pPr>
        <w:spacing w:before="0" w:after="120" w:line="276" w:lineRule="auto"/>
      </w:pPr>
      <w:r>
        <w:rPr>
          <w:rFonts w:ascii="Calibri" w:hAnsi="Calibri"/>
          <w:color w:val="1E1E1E"/>
          <w:sz w:val="22"/>
        </w:rPr>
        <w:t>Cybersecurity should therefore be treated as an enterprise risk requiring board oversight rather than solely an IT responsibility.</w:t>
      </w:r>
    </w:p>
    <w:p>
      <w:pPr>
        <w:keepNext/>
        <w:spacing w:before="400" w:after="160"/>
      </w:pPr>
      <w:r>
        <w:rPr>
          <w:rFonts w:ascii="Arial" w:hAnsi="Arial"/>
          <w:b/>
          <w:color w:val="102A4D"/>
          <w:sz w:val="32"/>
        </w:rPr>
        <w:t>Real-World Case Studies &amp; Governance Lessons</w:t>
      </w:r>
    </w:p>
    <w:tbl>
      <w:tblPr>
        <w:tblW w:type="auto" w:w="0"/>
        <w:jc w:val="center"/>
        <w:tblLook w:firstColumn="1" w:firstRow="1" w:lastColumn="0" w:lastRow="0" w:noHBand="0" w:noVBand="1" w:val="04A0"/>
      </w:tblPr>
      <w:tblGrid>
        <w:gridCol w:w="9360"/>
      </w:tblGrid>
      <w:tr>
        <w:tc>
          <w:tcPr>
            <w:tcW w:type="dxa" w:w="9360"/>
            <w:shd w:fill="F2F5F8"/>
            <w:tcBorders>
              <w:left w:val="single" w:sz="36" w:space="0" w:color="102A4D"/>
              <w:top w:val="none"/>
              <w:bottom w:val="none"/>
              <w:right w:val="none"/>
            </w:tcBorders>
            <w:tcMar>
              <w:top w:w="160" w:type="dxa"/>
              <w:bottom w:w="160" w:type="dxa"/>
              <w:left w:w="220" w:type="dxa"/>
              <w:right w:w="220" w:type="dxa"/>
            </w:tcMar>
          </w:tcPr>
          <w:p>
            <w:pPr>
              <w:spacing w:before="0" w:after="120"/>
            </w:pPr>
            <w:r>
              <w:rPr>
                <w:rFonts w:ascii="Arial" w:hAnsi="Arial"/>
                <w:b/>
                <w:color w:val="102A4D"/>
                <w:sz w:val="22"/>
              </w:rPr>
              <w:t>CASE STUDY 1: MOVEIT SUPPLY CHAIN ATTACK</w:t>
            </w:r>
          </w:p>
          <w:p>
            <w:pPr>
              <w:spacing w:before="80" w:after="80"/>
            </w:pPr>
            <w:r>
              <w:rPr>
                <w:rFonts w:ascii="Arial" w:hAnsi="Arial"/>
                <w:b/>
                <w:color w:val="0096B4"/>
                <w:sz w:val="20"/>
              </w:rPr>
              <w:t>What Happened</w:t>
            </w:r>
          </w:p>
          <w:p>
            <w:pPr>
              <w:spacing w:before="0" w:after="60"/>
            </w:pPr>
            <w:r>
              <w:rPr>
                <w:rFonts w:ascii="Calibri" w:hAnsi="Calibri"/>
                <w:color w:val="1E1E1E"/>
                <w:sz w:val="20"/>
              </w:rPr>
              <w:t>•  Attackers exploited a previously unknown vulnerability in the MOVEit Transfer file-sharing platform used by thousands of organisations worldwide.</w:t>
            </w:r>
          </w:p>
          <w:p>
            <w:pPr>
              <w:spacing w:before="0" w:after="60"/>
            </w:pPr>
            <w:r>
              <w:rPr>
                <w:rFonts w:ascii="Calibri" w:hAnsi="Calibri"/>
                <w:color w:val="1E1E1E"/>
                <w:sz w:val="20"/>
              </w:rPr>
              <w:t>•  The compromise affected governments, healthcare providers, universities, financial institutions and private companies.</w:t>
            </w:r>
          </w:p>
          <w:p>
            <w:pPr>
              <w:spacing w:before="0" w:after="60"/>
            </w:pPr>
            <w:r>
              <w:rPr>
                <w:rFonts w:ascii="Calibri" w:hAnsi="Calibri"/>
                <w:color w:val="1E1E1E"/>
                <w:sz w:val="20"/>
              </w:rPr>
              <w:t>•  Millions of records containing personal and sensitive information were exposed.</w:t>
            </w:r>
          </w:p>
          <w:p>
            <w:pPr>
              <w:spacing w:before="160" w:after="80"/>
            </w:pPr>
            <w:r>
              <w:rPr>
                <w:rFonts w:ascii="Arial" w:hAnsi="Arial"/>
                <w:b/>
                <w:color w:val="0096B4"/>
                <w:sz w:val="20"/>
              </w:rPr>
              <w:t>Governance Lessons</w:t>
            </w:r>
          </w:p>
          <w:p>
            <w:pPr>
              <w:spacing w:before="0" w:after="60"/>
            </w:pPr>
            <w:r>
              <w:rPr>
                <w:rFonts w:ascii="Calibri" w:hAnsi="Calibri"/>
                <w:color w:val="1E1E1E"/>
                <w:sz w:val="20"/>
              </w:rPr>
              <w:t>•  Supplier risk must be actively managed across all digital touchpoints.</w:t>
            </w:r>
          </w:p>
          <w:p>
            <w:pPr>
              <w:spacing w:before="0" w:after="60"/>
            </w:pPr>
            <w:r>
              <w:rPr>
                <w:rFonts w:ascii="Calibri" w:hAnsi="Calibri"/>
                <w:color w:val="1E1E1E"/>
                <w:sz w:val="20"/>
              </w:rPr>
              <w:t>•  Critical third parties should undergo regular, rigorous security assessments.</w:t>
            </w:r>
          </w:p>
          <w:p>
            <w:pPr>
              <w:spacing w:before="0" w:after="60"/>
            </w:pPr>
            <w:r>
              <w:rPr>
                <w:rFonts w:ascii="Calibri" w:hAnsi="Calibri"/>
                <w:color w:val="1E1E1E"/>
                <w:sz w:val="20"/>
              </w:rPr>
              <w:t>•  Software vulnerabilities require rapid identification and automated patch management.</w:t>
            </w:r>
          </w:p>
          <w:p>
            <w:pPr>
              <w:spacing w:before="0" w:after="60"/>
            </w:pPr>
            <w:r>
              <w:rPr>
                <w:rFonts w:ascii="Calibri" w:hAnsi="Calibri"/>
                <w:color w:val="1E1E1E"/>
                <w:sz w:val="20"/>
              </w:rPr>
              <w:t>•  Organisations should maintain complete visibility of their entire technology supply chain.</w:t>
            </w:r>
          </w:p>
        </w:tc>
      </w:tr>
    </w:tbl>
    <w:p>
      <w:pPr>
        <w:spacing w:after="160"/>
      </w:pPr>
    </w:p>
    <w:tbl>
      <w:tblPr>
        <w:tblW w:type="auto" w:w="0"/>
        <w:jc w:val="center"/>
        <w:tblLook w:firstColumn="1" w:firstRow="1" w:lastColumn="0" w:lastRow="0" w:noHBand="0" w:noVBand="1" w:val="04A0"/>
      </w:tblPr>
      <w:tblGrid>
        <w:gridCol w:w="9360"/>
      </w:tblGrid>
      <w:tr>
        <w:tc>
          <w:tcPr>
            <w:tcW w:type="dxa" w:w="9360"/>
            <w:shd w:fill="F2F5F8"/>
            <w:tcBorders>
              <w:left w:val="single" w:sz="36" w:space="0" w:color="102A4D"/>
              <w:top w:val="none"/>
              <w:bottom w:val="none"/>
              <w:right w:val="none"/>
            </w:tcBorders>
            <w:tcMar>
              <w:top w:w="160" w:type="dxa"/>
              <w:bottom w:w="160" w:type="dxa"/>
              <w:left w:w="220" w:type="dxa"/>
              <w:right w:w="220" w:type="dxa"/>
            </w:tcMar>
          </w:tcPr>
          <w:p>
            <w:pPr>
              <w:spacing w:before="0" w:after="120"/>
            </w:pPr>
            <w:r>
              <w:rPr>
                <w:rFonts w:ascii="Arial" w:hAnsi="Arial"/>
                <w:b/>
                <w:color w:val="102A4D"/>
                <w:sz w:val="22"/>
              </w:rPr>
              <w:t>CASE STUDY 2: BRITISH LIBRARY RANSOMWARE ATTACK</w:t>
            </w:r>
          </w:p>
          <w:p>
            <w:pPr>
              <w:spacing w:before="80" w:after="80"/>
            </w:pPr>
            <w:r>
              <w:rPr>
                <w:rFonts w:ascii="Arial" w:hAnsi="Arial"/>
                <w:b/>
                <w:color w:val="0096B4"/>
                <w:sz w:val="20"/>
              </w:rPr>
              <w:t>What Happened</w:t>
            </w:r>
          </w:p>
          <w:p>
            <w:pPr>
              <w:spacing w:before="0" w:after="60"/>
            </w:pPr>
            <w:r>
              <w:rPr>
                <w:rFonts w:ascii="Calibri" w:hAnsi="Calibri"/>
                <w:color w:val="1E1E1E"/>
                <w:sz w:val="20"/>
              </w:rPr>
              <w:t>•  The British Library suffered a ransomware attack that significantly disrupted public services and internal operations.</w:t>
            </w:r>
          </w:p>
          <w:p>
            <w:pPr>
              <w:spacing w:before="0" w:after="60"/>
            </w:pPr>
            <w:r>
              <w:rPr>
                <w:rFonts w:ascii="Calibri" w:hAnsi="Calibri"/>
                <w:color w:val="1E1E1E"/>
                <w:sz w:val="20"/>
              </w:rPr>
              <w:t>•  Recovery required extensive rebuilding of systems and took many months to restore full functional baseline.</w:t>
            </w:r>
          </w:p>
          <w:p>
            <w:pPr>
              <w:spacing w:before="160" w:after="80"/>
            </w:pPr>
            <w:r>
              <w:rPr>
                <w:rFonts w:ascii="Arial" w:hAnsi="Arial"/>
                <w:b/>
                <w:color w:val="0096B4"/>
                <w:sz w:val="20"/>
              </w:rPr>
              <w:t>Governance Lessons</w:t>
            </w:r>
          </w:p>
          <w:p>
            <w:pPr>
              <w:spacing w:before="0" w:after="60"/>
            </w:pPr>
            <w:r>
              <w:rPr>
                <w:rFonts w:ascii="Calibri" w:hAnsi="Calibri"/>
                <w:color w:val="1E1E1E"/>
                <w:sz w:val="20"/>
              </w:rPr>
              <w:t>•  Robust business continuity planning is essential for enterprise survival.</w:t>
            </w:r>
          </w:p>
          <w:p>
            <w:pPr>
              <w:spacing w:before="0" w:after="60"/>
            </w:pPr>
            <w:r>
              <w:rPr>
                <w:rFonts w:ascii="Calibri" w:hAnsi="Calibri"/>
                <w:color w:val="1E1E1E"/>
                <w:sz w:val="20"/>
              </w:rPr>
              <w:t>•  Immutable and offline backups should be regularly tested and verified.</w:t>
            </w:r>
          </w:p>
          <w:p>
            <w:pPr>
              <w:spacing w:before="0" w:after="60"/>
            </w:pPr>
            <w:r>
              <w:rPr>
                <w:rFonts w:ascii="Calibri" w:hAnsi="Calibri"/>
                <w:color w:val="1E1E1E"/>
                <w:sz w:val="20"/>
              </w:rPr>
              <w:t>•  Incident response plans should be rehearsed through realistic executive tabletop exercises.</w:t>
            </w:r>
          </w:p>
          <w:p>
            <w:pPr>
              <w:spacing w:before="0" w:after="60"/>
            </w:pPr>
            <w:r>
              <w:rPr>
                <w:rFonts w:ascii="Calibri" w:hAnsi="Calibri"/>
                <w:color w:val="1E1E1E"/>
                <w:sz w:val="20"/>
              </w:rPr>
              <w:t>•  Executive leadership should fully understand their cyber resilience responsibilities.</w:t>
            </w:r>
          </w:p>
        </w:tc>
      </w:tr>
    </w:tbl>
    <w:p>
      <w:pPr>
        <w:spacing w:after="160"/>
      </w:pPr>
    </w:p>
    <w:tbl>
      <w:tblPr>
        <w:tblW w:type="auto" w:w="0"/>
        <w:jc w:val="center"/>
        <w:tblLook w:firstColumn="1" w:firstRow="1" w:lastColumn="0" w:lastRow="0" w:noHBand="0" w:noVBand="1" w:val="04A0"/>
      </w:tblPr>
      <w:tblGrid>
        <w:gridCol w:w="9360"/>
      </w:tblGrid>
      <w:tr>
        <w:tc>
          <w:tcPr>
            <w:tcW w:type="dxa" w:w="9360"/>
            <w:shd w:fill="F2F5F8"/>
            <w:tcBorders>
              <w:left w:val="single" w:sz="36" w:space="0" w:color="102A4D"/>
              <w:top w:val="none"/>
              <w:bottom w:val="none"/>
              <w:right w:val="none"/>
            </w:tcBorders>
            <w:tcMar>
              <w:top w:w="160" w:type="dxa"/>
              <w:bottom w:w="160" w:type="dxa"/>
              <w:left w:w="220" w:type="dxa"/>
              <w:right w:w="220" w:type="dxa"/>
            </w:tcMar>
          </w:tcPr>
          <w:p>
            <w:pPr>
              <w:spacing w:before="0" w:after="120"/>
            </w:pPr>
            <w:r>
              <w:rPr>
                <w:rFonts w:ascii="Arial" w:hAnsi="Arial"/>
                <w:b/>
                <w:color w:val="102A4D"/>
                <w:sz w:val="22"/>
              </w:rPr>
              <w:t>CASE STUDY 3: MGM RESORTS CYBER INCIDENT</w:t>
            </w:r>
          </w:p>
          <w:p>
            <w:pPr>
              <w:spacing w:before="80" w:after="80"/>
            </w:pPr>
            <w:r>
              <w:rPr>
                <w:rFonts w:ascii="Arial" w:hAnsi="Arial"/>
                <w:b/>
                <w:color w:val="0096B4"/>
                <w:sz w:val="20"/>
              </w:rPr>
              <w:t>What Happened</w:t>
            </w:r>
          </w:p>
          <w:p>
            <w:pPr>
              <w:spacing w:before="0" w:after="60"/>
            </w:pPr>
            <w:r>
              <w:rPr>
                <w:rFonts w:ascii="Calibri" w:hAnsi="Calibri"/>
                <w:color w:val="1E1E1E"/>
                <w:sz w:val="20"/>
              </w:rPr>
              <w:t>•  Attackers used social engineering techniques targeting help desks to gain access to internal systems.</w:t>
            </w:r>
          </w:p>
          <w:p>
            <w:pPr>
              <w:spacing w:before="0" w:after="60"/>
            </w:pPr>
            <w:r>
              <w:rPr>
                <w:rFonts w:ascii="Calibri" w:hAnsi="Calibri"/>
                <w:color w:val="1E1E1E"/>
                <w:sz w:val="20"/>
              </w:rPr>
              <w:t>•  Resulted in widespread disruption to hotel operations, reservations, keyless entry and digital casino services.</w:t>
            </w:r>
          </w:p>
          <w:p>
            <w:pPr>
              <w:spacing w:before="160" w:after="80"/>
            </w:pPr>
            <w:r>
              <w:rPr>
                <w:rFonts w:ascii="Arial" w:hAnsi="Arial"/>
                <w:b/>
                <w:color w:val="0096B4"/>
                <w:sz w:val="20"/>
              </w:rPr>
              <w:t>Governance Lessons</w:t>
            </w:r>
          </w:p>
          <w:p>
            <w:pPr>
              <w:spacing w:before="0" w:after="60"/>
            </w:pPr>
            <w:r>
              <w:rPr>
                <w:rFonts w:ascii="Calibri" w:hAnsi="Calibri"/>
                <w:color w:val="1E1E1E"/>
                <w:sz w:val="20"/>
              </w:rPr>
              <w:t>•  Human error remains a primary and highly targeted attack vector.</w:t>
            </w:r>
          </w:p>
          <w:p>
            <w:pPr>
              <w:spacing w:before="0" w:after="60"/>
            </w:pPr>
            <w:r>
              <w:rPr>
                <w:rFonts w:ascii="Calibri" w:hAnsi="Calibri"/>
                <w:color w:val="1E1E1E"/>
                <w:sz w:val="20"/>
              </w:rPr>
              <w:t>•  Identity verification procedures for help desks and IT support must be strengthened.</w:t>
            </w:r>
          </w:p>
          <w:p>
            <w:pPr>
              <w:spacing w:before="0" w:after="60"/>
            </w:pPr>
            <w:r>
              <w:rPr>
                <w:rFonts w:ascii="Calibri" w:hAnsi="Calibri"/>
                <w:color w:val="1E1E1E"/>
                <w:sz w:val="20"/>
              </w:rPr>
              <w:t>•  Privileged access management (PAM) should be tightly controlled and monitored.</w:t>
            </w:r>
          </w:p>
          <w:p>
            <w:pPr>
              <w:spacing w:before="0" w:after="60"/>
            </w:pPr>
            <w:r>
              <w:rPr>
                <w:rFonts w:ascii="Calibri" w:hAnsi="Calibri"/>
                <w:color w:val="1E1E1E"/>
                <w:sz w:val="20"/>
              </w:rPr>
              <w:t>•  Security awareness programmes must be continuous, dynamic and regularly updated.</w:t>
            </w:r>
          </w:p>
        </w:tc>
      </w:tr>
    </w:tbl>
    <w:p>
      <w:pPr>
        <w:spacing w:after="160"/>
      </w:pPr>
    </w:p>
    <w:tbl>
      <w:tblPr>
        <w:tblW w:type="auto" w:w="0"/>
        <w:jc w:val="center"/>
        <w:tblLook w:firstColumn="1" w:firstRow="1" w:lastColumn="0" w:lastRow="0" w:noHBand="0" w:noVBand="1" w:val="04A0"/>
      </w:tblPr>
      <w:tblGrid>
        <w:gridCol w:w="9360"/>
      </w:tblGrid>
      <w:tr>
        <w:tc>
          <w:tcPr>
            <w:tcW w:type="dxa" w:w="9360"/>
            <w:shd w:fill="F2F5F8"/>
            <w:tcBorders>
              <w:left w:val="single" w:sz="36" w:space="0" w:color="102A4D"/>
              <w:top w:val="none"/>
              <w:bottom w:val="none"/>
              <w:right w:val="none"/>
            </w:tcBorders>
            <w:tcMar>
              <w:top w:w="160" w:type="dxa"/>
              <w:bottom w:w="160" w:type="dxa"/>
              <w:left w:w="220" w:type="dxa"/>
              <w:right w:w="220" w:type="dxa"/>
            </w:tcMar>
          </w:tcPr>
          <w:p>
            <w:pPr>
              <w:spacing w:before="0" w:after="120"/>
            </w:pPr>
            <w:r>
              <w:rPr>
                <w:rFonts w:ascii="Arial" w:hAnsi="Arial"/>
                <w:b/>
                <w:color w:val="102A4D"/>
                <w:sz w:val="22"/>
              </w:rPr>
              <w:t>CASE STUDY 4: NIGERIAN BANKING FRAUD TRENDS</w:t>
            </w:r>
          </w:p>
          <w:p>
            <w:pPr>
              <w:spacing w:before="80" w:after="80"/>
            </w:pPr>
            <w:r>
              <w:rPr>
                <w:rFonts w:ascii="Arial" w:hAnsi="Arial"/>
                <w:b/>
                <w:color w:val="0096B4"/>
                <w:sz w:val="20"/>
              </w:rPr>
              <w:t>What Happened</w:t>
            </w:r>
          </w:p>
          <w:p>
            <w:pPr>
              <w:spacing w:before="0" w:after="60"/>
            </w:pPr>
            <w:r>
              <w:rPr>
                <w:rFonts w:ascii="Calibri" w:hAnsi="Calibri"/>
                <w:color w:val="1E1E1E"/>
                <w:sz w:val="20"/>
              </w:rPr>
              <w:t>•  Nigeria has experienced increasing levels of digital fraud targeting financial institutions and customers through phishing, account compromise, insider abuse and social engineering.</w:t>
            </w:r>
          </w:p>
          <w:p>
            <w:pPr>
              <w:spacing w:before="0" w:after="60"/>
            </w:pPr>
            <w:r>
              <w:rPr>
                <w:rFonts w:ascii="Calibri" w:hAnsi="Calibri"/>
                <w:color w:val="1E1E1E"/>
                <w:sz w:val="20"/>
              </w:rPr>
              <w:t>•  These incidents demonstrate that cyber risk is not confined to technology platforms but also involves governance, processes and people.</w:t>
            </w:r>
          </w:p>
          <w:p>
            <w:pPr>
              <w:spacing w:before="160" w:after="80"/>
            </w:pPr>
            <w:r>
              <w:rPr>
                <w:rFonts w:ascii="Arial" w:hAnsi="Arial"/>
                <w:b/>
                <w:color w:val="0096B4"/>
                <w:sz w:val="20"/>
              </w:rPr>
              <w:t>Governance Lessons</w:t>
            </w:r>
          </w:p>
          <w:p>
            <w:pPr>
              <w:spacing w:before="0" w:after="60"/>
            </w:pPr>
            <w:r>
              <w:rPr>
                <w:rFonts w:ascii="Calibri" w:hAnsi="Calibri"/>
                <w:color w:val="1E1E1E"/>
                <w:sz w:val="20"/>
              </w:rPr>
              <w:t>•  Continuous automated fraud monitoring and telemetry are essential.</w:t>
            </w:r>
          </w:p>
          <w:p>
            <w:pPr>
              <w:spacing w:before="0" w:after="60"/>
            </w:pPr>
            <w:r>
              <w:rPr>
                <w:rFonts w:ascii="Calibri" w:hAnsi="Calibri"/>
                <w:color w:val="1E1E1E"/>
                <w:sz w:val="20"/>
              </w:rPr>
              <w:t>•  Strong identity verification and multi-factor authentication reduce account compromise.</w:t>
            </w:r>
          </w:p>
          <w:p>
            <w:pPr>
              <w:spacing w:before="0" w:after="60"/>
            </w:pPr>
            <w:r>
              <w:rPr>
                <w:rFonts w:ascii="Calibri" w:hAnsi="Calibri"/>
                <w:color w:val="1E1E1E"/>
                <w:sz w:val="20"/>
              </w:rPr>
              <w:t>•  Staff awareness, strict internal controls and an ethical corporate culture are critical controls.</w:t>
            </w:r>
          </w:p>
          <w:p>
            <w:pPr>
              <w:spacing w:before="0" w:after="60"/>
            </w:pPr>
            <w:r>
              <w:rPr>
                <w:rFonts w:ascii="Calibri" w:hAnsi="Calibri"/>
                <w:color w:val="1E1E1E"/>
                <w:sz w:val="20"/>
              </w:rPr>
              <w:t>•  Actionable risk reporting should reach executive management and board committees directly.</w:t>
            </w:r>
          </w:p>
        </w:tc>
      </w:tr>
    </w:tbl>
    <w:p>
      <w:pPr>
        <w:spacing w:after="160"/>
      </w:pPr>
    </w:p>
    <w:tbl>
      <w:tblPr>
        <w:tblW w:type="auto" w:w="0"/>
        <w:jc w:val="center"/>
        <w:tblLook w:firstColumn="1" w:firstRow="1" w:lastColumn="0" w:lastRow="0" w:noHBand="0" w:noVBand="1" w:val="04A0"/>
      </w:tblPr>
      <w:tblGrid>
        <w:gridCol w:w="9360"/>
      </w:tblGrid>
      <w:tr>
        <w:tc>
          <w:tcPr>
            <w:tcW w:type="dxa" w:w="9360"/>
            <w:shd w:fill="F2F5F8"/>
            <w:tcBorders>
              <w:left w:val="single" w:sz="36" w:space="0" w:color="102A4D"/>
              <w:top w:val="none"/>
              <w:bottom w:val="none"/>
              <w:right w:val="none"/>
            </w:tcBorders>
            <w:tcMar>
              <w:top w:w="160" w:type="dxa"/>
              <w:bottom w:w="160" w:type="dxa"/>
              <w:left w:w="220" w:type="dxa"/>
              <w:right w:w="220" w:type="dxa"/>
            </w:tcMar>
          </w:tcPr>
          <w:p>
            <w:pPr>
              <w:spacing w:before="0" w:after="120"/>
            </w:pPr>
            <w:r>
              <w:rPr>
                <w:rFonts w:ascii="Arial" w:hAnsi="Arial"/>
                <w:b/>
                <w:color w:val="102A4D"/>
                <w:sz w:val="22"/>
              </w:rPr>
              <w:t>CASE STUDY 5: HEALTHCARE SECTOR CYBER ATTACKS</w:t>
            </w:r>
          </w:p>
          <w:p>
            <w:pPr>
              <w:spacing w:before="80" w:after="80"/>
            </w:pPr>
            <w:r>
              <w:rPr>
                <w:rFonts w:ascii="Arial" w:hAnsi="Arial"/>
                <w:b/>
                <w:color w:val="0096B4"/>
                <w:sz w:val="20"/>
              </w:rPr>
              <w:t>What Happened</w:t>
            </w:r>
          </w:p>
          <w:p>
            <w:pPr>
              <w:spacing w:before="0" w:after="60"/>
            </w:pPr>
            <w:r>
              <w:rPr>
                <w:rFonts w:ascii="Calibri" w:hAnsi="Calibri"/>
                <w:color w:val="1E1E1E"/>
                <w:sz w:val="20"/>
              </w:rPr>
              <w:t>•  Healthcare organisations continue to be heavily targeted because of the high value of patient data on dark markets and the operational pressure to restore critical services quickly.</w:t>
            </w:r>
          </w:p>
          <w:p>
            <w:pPr>
              <w:spacing w:before="160" w:after="80"/>
            </w:pPr>
            <w:r>
              <w:rPr>
                <w:rFonts w:ascii="Arial" w:hAnsi="Arial"/>
                <w:b/>
                <w:color w:val="0096B4"/>
                <w:sz w:val="20"/>
              </w:rPr>
              <w:t>Governance Lessons</w:t>
            </w:r>
          </w:p>
          <w:p>
            <w:pPr>
              <w:spacing w:before="0" w:after="60"/>
            </w:pPr>
            <w:r>
              <w:rPr>
                <w:rFonts w:ascii="Calibri" w:hAnsi="Calibri"/>
                <w:color w:val="1E1E1E"/>
                <w:sz w:val="20"/>
              </w:rPr>
              <w:t>•  Critical assets and clinical data repositories must be identified and prioritised.</w:t>
            </w:r>
          </w:p>
          <w:p>
            <w:pPr>
              <w:spacing w:before="0" w:after="60"/>
            </w:pPr>
            <w:r>
              <w:rPr>
                <w:rFonts w:ascii="Calibri" w:hAnsi="Calibri"/>
                <w:color w:val="1E1E1E"/>
                <w:sz w:val="20"/>
              </w:rPr>
              <w:t>•  Micro-segmentation of networks reduces lateral attacker movement.</w:t>
            </w:r>
          </w:p>
          <w:p>
            <w:pPr>
              <w:spacing w:before="0" w:after="60"/>
            </w:pPr>
            <w:r>
              <w:rPr>
                <w:rFonts w:ascii="Calibri" w:hAnsi="Calibri"/>
                <w:color w:val="1E1E1E"/>
                <w:sz w:val="20"/>
              </w:rPr>
              <w:t>•  Incident response capabilities should be regularly tested against ransomware scenarios.</w:t>
            </w:r>
          </w:p>
          <w:p>
            <w:pPr>
              <w:spacing w:before="0" w:after="60"/>
            </w:pPr>
            <w:r>
              <w:rPr>
                <w:rFonts w:ascii="Calibri" w:hAnsi="Calibri"/>
                <w:color w:val="1E1E1E"/>
                <w:sz w:val="20"/>
              </w:rPr>
              <w:t>•  Cybersecurity must be integrated directly into clinical safety and operational risk management.</w:t>
            </w:r>
          </w:p>
        </w:tc>
      </w:tr>
    </w:tbl>
    <w:p>
      <w:pPr>
        <w:spacing w:after="160"/>
      </w:pPr>
    </w:p>
    <w:p>
      <w:pPr>
        <w:keepNext/>
        <w:spacing w:before="400" w:after="160"/>
      </w:pPr>
      <w:r>
        <w:rPr>
          <w:rFonts w:ascii="Arial" w:hAnsi="Arial"/>
          <w:b/>
          <w:color w:val="102A4D"/>
          <w:sz w:val="32"/>
        </w:rPr>
        <w:t>Common Themes Across Major Cyber Incidents</w:t>
      </w:r>
    </w:p>
    <w:p>
      <w:pPr>
        <w:spacing w:before="0" w:after="120" w:line="276" w:lineRule="auto"/>
      </w:pPr>
      <w:r>
        <w:rPr>
          <w:rFonts w:ascii="Calibri" w:hAnsi="Calibri"/>
          <w:color w:val="1E1E1E"/>
          <w:sz w:val="22"/>
        </w:rPr>
        <w:t>Although the organisations affected differ significantly in size, location, and industry, the underlying root causes are remarkably consistent. Successful breaches repeatedly exploit systemic gaps in baseline security hygiene and governance.</w:t>
      </w:r>
    </w:p>
    <w:p>
      <w:pPr>
        <w:pStyle w:val="ListBullet"/>
        <w:spacing w:before="0" w:after="80" w:line="276" w:lineRule="auto"/>
      </w:pPr>
      <w:r>
        <w:rPr>
          <w:rFonts w:ascii="Calibri" w:hAnsi="Calibri"/>
          <w:color w:val="1E1E1E"/>
          <w:sz w:val="22"/>
        </w:rPr>
        <w:t>Weak governance structures and lack of clear risk ownership</w:t>
      </w:r>
    </w:p>
    <w:p>
      <w:pPr>
        <w:pStyle w:val="ListBullet"/>
        <w:spacing w:before="0" w:after="80" w:line="276" w:lineRule="auto"/>
      </w:pPr>
      <w:r>
        <w:rPr>
          <w:rFonts w:ascii="Calibri" w:hAnsi="Calibri"/>
          <w:color w:val="1E1E1E"/>
          <w:sz w:val="22"/>
        </w:rPr>
        <w:t>Poor asset management and unmapped IT infrastructure</w:t>
      </w:r>
    </w:p>
    <w:p>
      <w:pPr>
        <w:pStyle w:val="ListBullet"/>
        <w:spacing w:before="0" w:after="80" w:line="276" w:lineRule="auto"/>
      </w:pPr>
      <w:r>
        <w:rPr>
          <w:rFonts w:ascii="Calibri" w:hAnsi="Calibri"/>
          <w:color w:val="1E1E1E"/>
          <w:sz w:val="22"/>
        </w:rPr>
        <w:t>Inadequate identity and access controls (e.g., missing MFA, excessive privileges)</w:t>
      </w:r>
    </w:p>
    <w:p>
      <w:pPr>
        <w:pStyle w:val="ListBullet"/>
        <w:spacing w:before="0" w:after="80" w:line="276" w:lineRule="auto"/>
      </w:pPr>
      <w:r>
        <w:rPr>
          <w:rFonts w:ascii="Calibri" w:hAnsi="Calibri"/>
          <w:color w:val="1E1E1E"/>
          <w:sz w:val="22"/>
        </w:rPr>
        <w:t>Delayed security patching and legacy software reliance</w:t>
      </w:r>
    </w:p>
    <w:p>
      <w:pPr>
        <w:pStyle w:val="ListBullet"/>
        <w:spacing w:before="0" w:after="80" w:line="276" w:lineRule="auto"/>
      </w:pPr>
      <w:r>
        <w:rPr>
          <w:rFonts w:ascii="Calibri" w:hAnsi="Calibri"/>
          <w:color w:val="1E1E1E"/>
          <w:sz w:val="22"/>
        </w:rPr>
        <w:t>Limited security awareness and vulnerability to social engineering</w:t>
      </w:r>
    </w:p>
    <w:p>
      <w:pPr>
        <w:pStyle w:val="ListBullet"/>
        <w:spacing w:before="0" w:after="80" w:line="276" w:lineRule="auto"/>
      </w:pPr>
      <w:r>
        <w:rPr>
          <w:rFonts w:ascii="Calibri" w:hAnsi="Calibri"/>
          <w:color w:val="1E1E1E"/>
          <w:sz w:val="22"/>
        </w:rPr>
        <w:t>Weak supplier oversight and third-party vendor risks</w:t>
      </w:r>
    </w:p>
    <w:p>
      <w:pPr>
        <w:pStyle w:val="ListBullet"/>
        <w:spacing w:before="0" w:after="80" w:line="276" w:lineRule="auto"/>
      </w:pPr>
      <w:r>
        <w:rPr>
          <w:rFonts w:ascii="Calibri" w:hAnsi="Calibri"/>
          <w:color w:val="1E1E1E"/>
          <w:sz w:val="22"/>
        </w:rPr>
        <w:t>Insufficient logging, monitoring, and detection capabilities</w:t>
      </w:r>
    </w:p>
    <w:p>
      <w:pPr>
        <w:pStyle w:val="ListBullet"/>
        <w:spacing w:before="0" w:after="80" w:line="276" w:lineRule="auto"/>
      </w:pPr>
      <w:r>
        <w:rPr>
          <w:rFonts w:ascii="Calibri" w:hAnsi="Calibri"/>
          <w:color w:val="1E1E1E"/>
          <w:sz w:val="22"/>
        </w:rPr>
        <w:t>Lack of tested business continuity and disaster recovery arrangements</w:t>
      </w:r>
    </w:p>
    <w:p>
      <w:pPr>
        <w:spacing w:before="0" w:after="240" w:line="276" w:lineRule="auto"/>
      </w:pPr>
      <w:r>
        <w:rPr>
          <w:rFonts w:ascii="Calibri" w:hAnsi="Calibri"/>
          <w:b/>
          <w:color w:val="1E1E1E"/>
          <w:sz w:val="22"/>
        </w:rPr>
        <w:t xml:space="preserve">Strategic Takeaway: </w:t>
      </w:r>
      <w:r>
        <w:rPr>
          <w:rFonts w:ascii="Calibri" w:hAnsi="Calibri"/>
          <w:color w:val="1E1E1E"/>
          <w:sz w:val="22"/>
        </w:rPr>
        <w:t>These weaknesses are precisely the key operational areas addressed through a structured Information Security Management System (ISMS).</w:t>
      </w:r>
    </w:p>
    <w:p>
      <w:pPr>
        <w:keepNext/>
        <w:spacing w:before="400" w:after="160"/>
      </w:pPr>
      <w:r>
        <w:rPr>
          <w:rFonts w:ascii="Arial" w:hAnsi="Arial"/>
          <w:b/>
          <w:color w:val="102A4D"/>
          <w:sz w:val="32"/>
        </w:rPr>
        <w:t>Why Governance Matters</w:t>
      </w:r>
    </w:p>
    <w:p>
      <w:pPr>
        <w:spacing w:before="0" w:after="120" w:line="276" w:lineRule="auto"/>
      </w:pPr>
      <w:r>
        <w:rPr>
          <w:rFonts w:ascii="Calibri" w:hAnsi="Calibri"/>
          <w:color w:val="1E1E1E"/>
          <w:sz w:val="22"/>
        </w:rPr>
        <w:t>Technology alone cannot eliminate cyber risk. Advanced security software is ineffective if internal policies are ignored, credentials are shared, or executive oversight is absent. Organisations that perform well during cyber incidents generally exhibit strong operational governance.</w:t>
      </w:r>
    </w:p>
    <w:tbl>
      <w:tblPr>
        <w:tblW w:type="auto" w:w="0"/>
        <w:jc w:val="center"/>
        <w:tblLook w:firstColumn="1" w:firstRow="1" w:lastColumn="0" w:lastRow="0" w:noHBand="0" w:noVBand="1" w:val="04A0"/>
      </w:tblPr>
      <w:tblGrid>
        <w:gridCol w:w="9360"/>
      </w:tblGrid>
      <w:tr>
        <w:tc>
          <w:tcPr>
            <w:tcW w:type="dxa" w:w="9360"/>
            <w:shd w:fill="EBF3F7"/>
            <w:tcBorders>
              <w:left w:val="single" w:sz="36" w:space="0" w:color="0096B4"/>
              <w:top w:val="none"/>
              <w:bottom w:val="none"/>
              <w:right w:val="none"/>
            </w:tcBorders>
            <w:tcMar>
              <w:top w:w="140" w:type="dxa"/>
              <w:bottom w:w="140" w:type="dxa"/>
              <w:left w:w="200" w:type="dxa"/>
              <w:right w:w="200" w:type="dxa"/>
            </w:tcMar>
          </w:tcPr>
          <w:p>
            <w:pPr>
              <w:spacing w:before="0" w:after="120"/>
            </w:pPr>
            <w:r>
              <w:rPr>
                <w:rFonts w:ascii="Arial" w:hAnsi="Arial"/>
                <w:b/>
                <w:color w:val="102A4D"/>
                <w:sz w:val="22"/>
              </w:rPr>
              <w:t>Key Traits of Cyber-Resilient Organisations</w:t>
            </w:r>
          </w:p>
          <w:p>
            <w:pPr>
              <w:spacing w:before="0" w:after="80"/>
            </w:pPr>
            <w:r>
              <w:rPr>
                <w:rFonts w:ascii="Calibri" w:hAnsi="Calibri"/>
                <w:color w:val="1E1E1E"/>
                <w:sz w:val="21"/>
              </w:rPr>
              <w:t>•  Executive Leadership &amp; Board Engagement</w:t>
            </w:r>
          </w:p>
          <w:p>
            <w:pPr>
              <w:spacing w:before="0" w:after="80"/>
            </w:pPr>
            <w:r>
              <w:rPr>
                <w:rFonts w:ascii="Calibri" w:hAnsi="Calibri"/>
                <w:color w:val="1E1E1E"/>
                <w:sz w:val="21"/>
              </w:rPr>
              <w:t>•  Clearly Defined &amp; Enforced Security Policies</w:t>
            </w:r>
          </w:p>
          <w:p>
            <w:pPr>
              <w:spacing w:before="0" w:after="80"/>
            </w:pPr>
            <w:r>
              <w:rPr>
                <w:rFonts w:ascii="Calibri" w:hAnsi="Calibri"/>
                <w:color w:val="1E1E1E"/>
                <w:sz w:val="21"/>
              </w:rPr>
              <w:t>•  Formal, Continuous Risk Management Processes</w:t>
            </w:r>
          </w:p>
          <w:p>
            <w:pPr>
              <w:spacing w:before="0" w:after="80"/>
            </w:pPr>
            <w:r>
              <w:rPr>
                <w:rFonts w:ascii="Calibri" w:hAnsi="Calibri"/>
                <w:color w:val="1E1E1E"/>
                <w:sz w:val="21"/>
              </w:rPr>
              <w:t>•  Regular Internal &amp; External Audits</w:t>
            </w:r>
          </w:p>
          <w:p>
            <w:pPr>
              <w:spacing w:before="0" w:after="80"/>
            </w:pPr>
            <w:r>
              <w:rPr>
                <w:rFonts w:ascii="Calibri" w:hAnsi="Calibri"/>
                <w:color w:val="1E1E1E"/>
                <w:sz w:val="21"/>
              </w:rPr>
              <w:t>•  Structured Continuous Improvement Programmes</w:t>
            </w:r>
          </w:p>
          <w:p>
            <w:pPr>
              <w:spacing w:before="0" w:after="80"/>
            </w:pPr>
            <w:r>
              <w:rPr>
                <w:rFonts w:ascii="Calibri" w:hAnsi="Calibri"/>
                <w:color w:val="1E1E1E"/>
                <w:sz w:val="21"/>
              </w:rPr>
              <w:t>•  Tested Incident Response &amp; Crisis Management Plans</w:t>
            </w:r>
          </w:p>
          <w:p>
            <w:pPr>
              <w:spacing w:before="0" w:after="0"/>
            </w:pPr>
            <w:r>
              <w:rPr>
                <w:rFonts w:ascii="Calibri" w:hAnsi="Calibri"/>
                <w:color w:val="1E1E1E"/>
                <w:sz w:val="21"/>
              </w:rPr>
              <w:t>•  Strong Vendor &amp; Third-Party Governance Frameworks</w:t>
            </w:r>
          </w:p>
        </w:tc>
      </w:tr>
    </w:tbl>
    <w:p>
      <w:pPr>
        <w:spacing w:after="120"/>
      </w:pPr>
    </w:p>
    <w:p>
      <w:pPr>
        <w:keepNext/>
        <w:spacing w:before="400" w:after="160"/>
      </w:pPr>
      <w:r>
        <w:rPr>
          <w:rFonts w:ascii="Arial" w:hAnsi="Arial"/>
          <w:b/>
          <w:color w:val="102A4D"/>
          <w:sz w:val="32"/>
        </w:rPr>
        <w:t>Is Your Organisation Prepared?</w:t>
      </w:r>
    </w:p>
    <w:p>
      <w:pPr>
        <w:spacing w:before="0" w:after="120" w:line="276" w:lineRule="auto"/>
      </w:pPr>
      <w:r>
        <w:rPr>
          <w:rFonts w:ascii="Calibri" w:hAnsi="Calibri"/>
          <w:color w:val="1E1E1E"/>
          <w:sz w:val="22"/>
        </w:rPr>
        <w:t>Executive leaders should evaluate their readiness by reflecting on the following key governance questions:</w:t>
      </w:r>
    </w:p>
    <w:p>
      <w:pPr>
        <w:pStyle w:val="ListBullet"/>
        <w:spacing w:before="0" w:after="80" w:line="276" w:lineRule="auto"/>
      </w:pPr>
      <w:r>
        <w:rPr>
          <w:rFonts w:ascii="Calibri" w:hAnsi="Calibri"/>
          <w:color w:val="1E1E1E"/>
          <w:sz w:val="22"/>
        </w:rPr>
        <w:t>Have we completed a comprehensive cybersecurity risk assessment within the last 12 months?</w:t>
      </w:r>
    </w:p>
    <w:p>
      <w:pPr>
        <w:pStyle w:val="ListBullet"/>
        <w:spacing w:before="0" w:after="80" w:line="276" w:lineRule="auto"/>
      </w:pPr>
      <w:r>
        <w:rPr>
          <w:rFonts w:ascii="Calibri" w:hAnsi="Calibri"/>
          <w:color w:val="1E1E1E"/>
          <w:sz w:val="22"/>
        </w:rPr>
        <w:t>Do we maintain a formal Information Security Management System (ISMS)?</w:t>
      </w:r>
    </w:p>
    <w:p>
      <w:pPr>
        <w:pStyle w:val="ListBullet"/>
        <w:spacing w:before="0" w:after="80" w:line="276" w:lineRule="auto"/>
      </w:pPr>
      <w:r>
        <w:rPr>
          <w:rFonts w:ascii="Calibri" w:hAnsi="Calibri"/>
          <w:color w:val="1E1E1E"/>
          <w:sz w:val="22"/>
        </w:rPr>
        <w:t>Are our critical information assets fully documented and prioritized?</w:t>
      </w:r>
    </w:p>
    <w:p>
      <w:pPr>
        <w:pStyle w:val="ListBullet"/>
        <w:spacing w:before="0" w:after="80" w:line="276" w:lineRule="auto"/>
      </w:pPr>
      <w:r>
        <w:rPr>
          <w:rFonts w:ascii="Calibri" w:hAnsi="Calibri"/>
          <w:color w:val="1E1E1E"/>
          <w:sz w:val="22"/>
        </w:rPr>
        <w:t>Do executive leadership and the board clearly understand our top cyber risks?</w:t>
      </w:r>
    </w:p>
    <w:p>
      <w:pPr>
        <w:pStyle w:val="ListBullet"/>
        <w:spacing w:before="0" w:after="80" w:line="276" w:lineRule="auto"/>
      </w:pPr>
      <w:r>
        <w:rPr>
          <w:rFonts w:ascii="Calibri" w:hAnsi="Calibri"/>
          <w:color w:val="1E1E1E"/>
          <w:sz w:val="22"/>
        </w:rPr>
        <w:t>Is multi-factor authentication (MFA) strictly enforced across all critical systems?</w:t>
      </w:r>
    </w:p>
    <w:p>
      <w:pPr>
        <w:pStyle w:val="ListBullet"/>
        <w:spacing w:before="0" w:after="80" w:line="276" w:lineRule="auto"/>
      </w:pPr>
      <w:r>
        <w:rPr>
          <w:rFonts w:ascii="Calibri" w:hAnsi="Calibri"/>
          <w:color w:val="1E1E1E"/>
          <w:sz w:val="22"/>
        </w:rPr>
        <w:t>Have we tested our incident response plan with executive participation in the last year?</w:t>
      </w:r>
    </w:p>
    <w:p>
      <w:pPr>
        <w:pStyle w:val="ListBullet"/>
        <w:spacing w:before="0" w:after="80" w:line="276" w:lineRule="auto"/>
      </w:pPr>
      <w:r>
        <w:rPr>
          <w:rFonts w:ascii="Calibri" w:hAnsi="Calibri"/>
          <w:color w:val="1E1E1E"/>
          <w:sz w:val="22"/>
        </w:rPr>
        <w:t>Have we assessed the security posture of our key third-party suppliers?</w:t>
      </w:r>
    </w:p>
    <w:p>
      <w:pPr>
        <w:pStyle w:val="ListBullet"/>
        <w:spacing w:before="0" w:after="80" w:line="276" w:lineRule="auto"/>
      </w:pPr>
      <w:r>
        <w:rPr>
          <w:rFonts w:ascii="Calibri" w:hAnsi="Calibri"/>
          <w:color w:val="1E1E1E"/>
          <w:sz w:val="22"/>
        </w:rPr>
        <w:t>Are employees regularly trained and tested to recognize phishing attacks?</w:t>
      </w:r>
    </w:p>
    <w:p>
      <w:pPr>
        <w:pStyle w:val="ListBullet"/>
        <w:spacing w:before="0" w:after="80" w:line="276" w:lineRule="auto"/>
      </w:pPr>
      <w:r>
        <w:rPr>
          <w:rFonts w:ascii="Calibri" w:hAnsi="Calibri"/>
          <w:color w:val="1E1E1E"/>
          <w:sz w:val="22"/>
        </w:rPr>
        <w:t>Does executive management receive regular, actionable cyber risk reports?</w:t>
      </w:r>
    </w:p>
    <w:p>
      <w:pPr>
        <w:pStyle w:val="ListBullet"/>
        <w:spacing w:before="0" w:after="80" w:line="276" w:lineRule="auto"/>
      </w:pPr>
      <w:r>
        <w:rPr>
          <w:rFonts w:ascii="Calibri" w:hAnsi="Calibri"/>
          <w:color w:val="1E1E1E"/>
          <w:sz w:val="22"/>
        </w:rPr>
        <w:t>Have we verified and restored data from our backups during a testing scenario?</w:t>
      </w:r>
    </w:p>
    <w:p>
      <w:pPr>
        <w:spacing w:before="0" w:after="280" w:line="276" w:lineRule="auto"/>
      </w:pPr>
      <w:r>
        <w:rPr>
          <w:rFonts w:ascii="Calibri" w:hAnsi="Calibri"/>
          <w:color w:val="1E1E1E"/>
          <w:sz w:val="22"/>
        </w:rPr>
        <w:t>If your answer to several of these questions is 'No' or 'Not sure', your organisation may have significant security exposure and immediate opportunities to strengthen its cybersecurity posture.</w:t>
      </w:r>
    </w:p>
    <w:p>
      <w:pPr>
        <w:keepNext/>
        <w:spacing w:before="400" w:after="160"/>
      </w:pPr>
      <w:r>
        <w:rPr>
          <w:rFonts w:ascii="Arial" w:hAnsi="Arial"/>
          <w:b/>
          <w:color w:val="102A4D"/>
          <w:sz w:val="32"/>
        </w:rPr>
        <w:t>Practical Recommendations</w:t>
      </w:r>
    </w:p>
    <w:p>
      <w:pPr>
        <w:keepNext/>
        <w:spacing w:before="280" w:after="120"/>
      </w:pPr>
      <w:r>
        <w:rPr>
          <w:rFonts w:ascii="Arial" w:hAnsi="Arial"/>
          <w:b/>
          <w:color w:val="0096B4"/>
          <w:sz w:val="24"/>
        </w:rPr>
        <w:t>Immediate Priorities (Next 30 Days)</w:t>
      </w:r>
    </w:p>
    <w:p>
      <w:pPr>
        <w:pStyle w:val="ListBullet"/>
        <w:spacing w:before="0" w:after="80" w:line="276" w:lineRule="auto"/>
      </w:pPr>
      <w:r>
        <w:rPr>
          <w:rFonts w:ascii="Calibri" w:hAnsi="Calibri"/>
          <w:color w:val="1E1E1E"/>
          <w:sz w:val="22"/>
        </w:rPr>
        <w:t>Review privileged accounts and remove obsolete access permissions.</w:t>
      </w:r>
    </w:p>
    <w:p>
      <w:pPr>
        <w:pStyle w:val="ListBullet"/>
        <w:spacing w:before="0" w:after="80" w:line="276" w:lineRule="auto"/>
      </w:pPr>
      <w:r>
        <w:rPr>
          <w:rFonts w:ascii="Calibri" w:hAnsi="Calibri"/>
          <w:color w:val="1E1E1E"/>
          <w:sz w:val="22"/>
        </w:rPr>
        <w:t>Enable multi-factor authentication (MFA) across all administrative and critical endpoints.</w:t>
      </w:r>
    </w:p>
    <w:p>
      <w:pPr>
        <w:pStyle w:val="ListBullet"/>
        <w:spacing w:before="0" w:after="80" w:line="276" w:lineRule="auto"/>
      </w:pPr>
      <w:r>
        <w:rPr>
          <w:rFonts w:ascii="Calibri" w:hAnsi="Calibri"/>
          <w:color w:val="1E1E1E"/>
          <w:sz w:val="22"/>
        </w:rPr>
        <w:t>Patch critical, internet-facing software vulnerabilities immediately.</w:t>
      </w:r>
    </w:p>
    <w:p>
      <w:pPr>
        <w:pStyle w:val="ListBullet"/>
        <w:spacing w:before="0" w:after="80" w:line="276" w:lineRule="auto"/>
      </w:pPr>
      <w:r>
        <w:rPr>
          <w:rFonts w:ascii="Calibri" w:hAnsi="Calibri"/>
          <w:color w:val="1E1E1E"/>
          <w:sz w:val="22"/>
        </w:rPr>
        <w:t>Review, verify, and test offline backup arrangements.</w:t>
      </w:r>
    </w:p>
    <w:p>
      <w:pPr>
        <w:pStyle w:val="ListBullet"/>
        <w:spacing w:before="0" w:after="80" w:line="276" w:lineRule="auto"/>
      </w:pPr>
      <w:r>
        <w:rPr>
          <w:rFonts w:ascii="Calibri" w:hAnsi="Calibri"/>
          <w:color w:val="1E1E1E"/>
          <w:sz w:val="22"/>
        </w:rPr>
        <w:t>Deliver immediate phishing awareness refresher training to staff.</w:t>
      </w:r>
    </w:p>
    <w:p>
      <w:pPr>
        <w:keepNext/>
        <w:spacing w:before="280" w:after="120"/>
      </w:pPr>
      <w:r>
        <w:rPr>
          <w:rFonts w:ascii="Arial" w:hAnsi="Arial"/>
          <w:b/>
          <w:color w:val="0096B4"/>
          <w:sz w:val="24"/>
        </w:rPr>
        <w:t>Medium-Term Priorities (1–6 Months)</w:t>
      </w:r>
    </w:p>
    <w:p>
      <w:pPr>
        <w:pStyle w:val="ListBullet"/>
        <w:spacing w:before="0" w:after="80" w:line="276" w:lineRule="auto"/>
      </w:pPr>
      <w:r>
        <w:rPr>
          <w:rFonts w:ascii="Calibri" w:hAnsi="Calibri"/>
          <w:color w:val="1E1E1E"/>
          <w:sz w:val="22"/>
        </w:rPr>
        <w:t>Conduct an enterprise cyber risk assessment across all operational business units.</w:t>
      </w:r>
    </w:p>
    <w:p>
      <w:pPr>
        <w:pStyle w:val="ListBullet"/>
        <w:spacing w:before="0" w:after="80" w:line="276" w:lineRule="auto"/>
      </w:pPr>
      <w:r>
        <w:rPr>
          <w:rFonts w:ascii="Calibri" w:hAnsi="Calibri"/>
          <w:color w:val="1E1E1E"/>
          <w:sz w:val="22"/>
        </w:rPr>
        <w:t>Develop or update core information security policies and operational procedures.</w:t>
      </w:r>
    </w:p>
    <w:p>
      <w:pPr>
        <w:pStyle w:val="ListBullet"/>
        <w:spacing w:before="0" w:after="80" w:line="276" w:lineRule="auto"/>
      </w:pPr>
      <w:r>
        <w:rPr>
          <w:rFonts w:ascii="Calibri" w:hAnsi="Calibri"/>
          <w:color w:val="1E1E1E"/>
          <w:sz w:val="22"/>
        </w:rPr>
        <w:t>Review supplier security contracts and conduct third-party risk assessments.</w:t>
      </w:r>
    </w:p>
    <w:p>
      <w:pPr>
        <w:pStyle w:val="ListBullet"/>
        <w:spacing w:before="0" w:after="80" w:line="276" w:lineRule="auto"/>
      </w:pPr>
      <w:r>
        <w:rPr>
          <w:rFonts w:ascii="Calibri" w:hAnsi="Calibri"/>
          <w:color w:val="1E1E1E"/>
          <w:sz w:val="22"/>
        </w:rPr>
        <w:t>Improve centralized security logging and automated monitoring capabilities.</w:t>
      </w:r>
    </w:p>
    <w:p>
      <w:pPr>
        <w:pStyle w:val="ListBullet"/>
        <w:spacing w:before="0" w:after="80" w:line="276" w:lineRule="auto"/>
      </w:pPr>
      <w:r>
        <w:rPr>
          <w:rFonts w:ascii="Calibri" w:hAnsi="Calibri"/>
          <w:color w:val="1E1E1E"/>
          <w:sz w:val="22"/>
        </w:rPr>
        <w:t>Establish regular executive cyber risk reporting mechanisms for board visibility.</w:t>
      </w:r>
    </w:p>
    <w:p>
      <w:pPr>
        <w:keepNext/>
        <w:spacing w:before="280" w:after="120"/>
      </w:pPr>
      <w:r>
        <w:rPr>
          <w:rFonts w:ascii="Arial" w:hAnsi="Arial"/>
          <w:b/>
          <w:color w:val="0096B4"/>
          <w:sz w:val="24"/>
        </w:rPr>
        <w:t>Strategic Priorities</w:t>
      </w:r>
    </w:p>
    <w:p>
      <w:pPr>
        <w:pStyle w:val="ListBullet"/>
        <w:spacing w:before="0" w:after="80" w:line="276" w:lineRule="auto"/>
      </w:pPr>
      <w:r>
        <w:rPr>
          <w:rFonts w:ascii="Calibri" w:hAnsi="Calibri"/>
          <w:color w:val="1E1E1E"/>
          <w:sz w:val="22"/>
        </w:rPr>
        <w:t>Implement an Information Security Management System (ISMS) aligned with ISO/IEC 27001.</w:t>
      </w:r>
    </w:p>
    <w:p>
      <w:pPr>
        <w:pStyle w:val="ListBullet"/>
        <w:spacing w:before="0" w:after="80" w:line="276" w:lineRule="auto"/>
      </w:pPr>
      <w:r>
        <w:rPr>
          <w:rFonts w:ascii="Calibri" w:hAnsi="Calibri"/>
          <w:color w:val="1E1E1E"/>
          <w:sz w:val="22"/>
        </w:rPr>
        <w:t>Adopt a recognized cybersecurity framework, such as the NIST Cybersecurity Framework (CSF).</w:t>
      </w:r>
    </w:p>
    <w:p>
      <w:pPr>
        <w:pStyle w:val="ListBullet"/>
        <w:spacing w:before="0" w:after="80" w:line="276" w:lineRule="auto"/>
      </w:pPr>
      <w:r>
        <w:rPr>
          <w:rFonts w:ascii="Calibri" w:hAnsi="Calibri"/>
          <w:color w:val="1E1E1E"/>
          <w:sz w:val="22"/>
        </w:rPr>
        <w:t>Embed cybersecurity metrics into enterprise risk management (ERM) frameworks.</w:t>
      </w:r>
    </w:p>
    <w:p>
      <w:pPr>
        <w:pStyle w:val="ListBullet"/>
        <w:spacing w:before="0" w:after="80" w:line="276" w:lineRule="auto"/>
      </w:pPr>
      <w:r>
        <w:rPr>
          <w:rFonts w:ascii="Calibri" w:hAnsi="Calibri"/>
          <w:color w:val="1E1E1E"/>
          <w:sz w:val="22"/>
        </w:rPr>
        <w:t>Build an organizational culture of security awareness and continuous improvement.</w:t>
      </w:r>
    </w:p>
    <w:p>
      <w:pPr>
        <w:keepNext/>
        <w:spacing w:before="400" w:after="160"/>
      </w:pPr>
      <w:r>
        <w:rPr>
          <w:rFonts w:ascii="Arial" w:hAnsi="Arial"/>
          <w:b/>
          <w:color w:val="102A4D"/>
          <w:sz w:val="32"/>
        </w:rPr>
        <w:t>About Quad Solutions</w:t>
      </w:r>
    </w:p>
    <w:p>
      <w:pPr>
        <w:spacing w:before="0" w:after="120" w:line="276" w:lineRule="auto"/>
      </w:pPr>
      <w:r>
        <w:rPr>
          <w:rFonts w:ascii="Calibri" w:hAnsi="Calibri"/>
          <w:color w:val="1E1E1E"/>
          <w:sz w:val="22"/>
        </w:rPr>
        <w:t>Quad Solutions is a premier Governance, Risk and Compliance (GRC) and cybersecurity advisory firm dedicated to helping organisations build secure, compliant and resilient digital enterprises.</w:t>
      </w:r>
    </w:p>
    <w:tbl>
      <w:tblPr>
        <w:tblW w:type="auto" w:w="0"/>
        <w:jc w:val="center"/>
        <w:tblLook w:firstColumn="1" w:firstRow="1" w:lastColumn="0" w:lastRow="0" w:noHBand="0" w:noVBand="1" w:val="04A0"/>
      </w:tblPr>
      <w:tblGrid>
        <w:gridCol w:w="9360"/>
      </w:tblGrid>
      <w:tr>
        <w:tc>
          <w:tcPr>
            <w:tcW w:type="dxa" w:w="9360"/>
            <w:shd w:fill="EBF3F7"/>
            <w:tcBorders>
              <w:left w:val="single" w:sz="36" w:space="0" w:color="0096B4"/>
              <w:top w:val="none"/>
              <w:bottom w:val="none"/>
              <w:right w:val="none"/>
            </w:tcBorders>
            <w:tcMar>
              <w:top w:w="140" w:type="dxa"/>
              <w:bottom w:w="140" w:type="dxa"/>
              <w:left w:w="200" w:type="dxa"/>
              <w:right w:w="200" w:type="dxa"/>
            </w:tcMar>
          </w:tcPr>
          <w:p>
            <w:pPr>
              <w:spacing w:before="0" w:after="120"/>
            </w:pPr>
            <w:r>
              <w:rPr>
                <w:rFonts w:ascii="Arial" w:hAnsi="Arial"/>
                <w:b/>
                <w:color w:val="102A4D"/>
                <w:sz w:val="22"/>
              </w:rPr>
              <w:t>Our Core Services</w:t>
            </w:r>
          </w:p>
          <w:p>
            <w:pPr>
              <w:spacing w:before="0" w:after="80"/>
            </w:pPr>
            <w:r>
              <w:rPr>
                <w:rFonts w:ascii="Calibri" w:hAnsi="Calibri"/>
                <w:color w:val="1E1E1E"/>
                <w:sz w:val="21"/>
              </w:rPr>
              <w:t>•  Cybersecurity Risk Assessments &amp; Threat Modeling</w:t>
            </w:r>
          </w:p>
          <w:p>
            <w:pPr>
              <w:spacing w:before="0" w:after="80"/>
            </w:pPr>
            <w:r>
              <w:rPr>
                <w:rFonts w:ascii="Calibri" w:hAnsi="Calibri"/>
                <w:color w:val="1E1E1E"/>
                <w:sz w:val="21"/>
              </w:rPr>
              <w:t>•  ISO/IEC 27001 &amp; NIST Framework Implementation</w:t>
            </w:r>
          </w:p>
          <w:p>
            <w:pPr>
              <w:spacing w:before="0" w:after="80"/>
            </w:pPr>
            <w:r>
              <w:rPr>
                <w:rFonts w:ascii="Calibri" w:hAnsi="Calibri"/>
                <w:color w:val="1E1E1E"/>
                <w:sz w:val="21"/>
              </w:rPr>
              <w:t>•  Information Security Governance &amp; Board Advisory</w:t>
            </w:r>
          </w:p>
          <w:p>
            <w:pPr>
              <w:spacing w:before="0" w:after="80"/>
            </w:pPr>
            <w:r>
              <w:rPr>
                <w:rFonts w:ascii="Calibri" w:hAnsi="Calibri"/>
                <w:color w:val="1E1E1E"/>
                <w:sz w:val="21"/>
              </w:rPr>
              <w:t>•  Virtual Chief Information Security Officer (vCISO) Services</w:t>
            </w:r>
          </w:p>
          <w:p>
            <w:pPr>
              <w:spacing w:before="0" w:after="80"/>
            </w:pPr>
            <w:r>
              <w:rPr>
                <w:rFonts w:ascii="Calibri" w:hAnsi="Calibri"/>
                <w:color w:val="1E1E1E"/>
                <w:sz w:val="21"/>
              </w:rPr>
              <w:t>•  Privacy, Data Protection &amp; Regulatory Compliance Advisory</w:t>
            </w:r>
          </w:p>
          <w:p>
            <w:pPr>
              <w:spacing w:before="0" w:after="80"/>
            </w:pPr>
            <w:r>
              <w:rPr>
                <w:rFonts w:ascii="Calibri" w:hAnsi="Calibri"/>
                <w:color w:val="1E1E1E"/>
                <w:sz w:val="21"/>
              </w:rPr>
              <w:t>•  Third-Party Risk Management (TPRM) Programs</w:t>
            </w:r>
          </w:p>
          <w:p>
            <w:pPr>
              <w:spacing w:before="0" w:after="80"/>
            </w:pPr>
            <w:r>
              <w:rPr>
                <w:rFonts w:ascii="Calibri" w:hAnsi="Calibri"/>
                <w:color w:val="1E1E1E"/>
                <w:sz w:val="21"/>
              </w:rPr>
              <w:t>•  Security Policy Framework Development &amp; Review</w:t>
            </w:r>
          </w:p>
          <w:p>
            <w:pPr>
              <w:spacing w:before="0" w:after="0"/>
            </w:pPr>
            <w:r>
              <w:rPr>
                <w:rFonts w:ascii="Calibri" w:hAnsi="Calibri"/>
                <w:color w:val="1E1E1E"/>
                <w:sz w:val="21"/>
              </w:rPr>
              <w:t>•  Executive Cyber Risk Reporting &amp; Crisis Management</w:t>
            </w:r>
          </w:p>
        </w:tc>
      </w:tr>
    </w:tbl>
    <w:p>
      <w:pPr>
        <w:spacing w:after="120"/>
      </w:pPr>
    </w:p>
    <w:p>
      <w:pPr>
        <w:keepNext/>
        <w:spacing w:before="400" w:after="160"/>
      </w:pPr>
      <w:r>
        <w:rPr>
          <w:rFonts w:ascii="Arial" w:hAnsi="Arial"/>
          <w:b/>
          <w:color w:val="102A4D"/>
          <w:sz w:val="32"/>
        </w:rPr>
        <w:t>Complimentary Cyber Risk Assessment</w:t>
      </w:r>
    </w:p>
    <w:p>
      <w:pPr>
        <w:spacing w:before="0" w:after="120" w:line="276" w:lineRule="auto"/>
      </w:pPr>
      <w:r>
        <w:rPr>
          <w:rFonts w:ascii="Calibri" w:hAnsi="Calibri"/>
          <w:color w:val="1E1E1E"/>
          <w:sz w:val="22"/>
        </w:rPr>
        <w:t>Every organisation's risk profile is unique. Quad Solutions offers a complimentary initial consultation to help leadership teams evaluate their security posture.</w:t>
      </w:r>
    </w:p>
    <w:p>
      <w:pPr>
        <w:pStyle w:val="ListBullet"/>
        <w:spacing w:before="0" w:after="80" w:line="276" w:lineRule="auto"/>
      </w:pPr>
      <w:r>
        <w:rPr>
          <w:rFonts w:ascii="Calibri" w:hAnsi="Calibri"/>
          <w:color w:val="1E1E1E"/>
          <w:sz w:val="22"/>
        </w:rPr>
        <w:t>Understand your current cyber risk posture and threat surface.</w:t>
      </w:r>
    </w:p>
    <w:p>
      <w:pPr>
        <w:pStyle w:val="ListBullet"/>
        <w:spacing w:before="0" w:after="80" w:line="276" w:lineRule="auto"/>
      </w:pPr>
      <w:r>
        <w:rPr>
          <w:rFonts w:ascii="Calibri" w:hAnsi="Calibri"/>
          <w:color w:val="1E1E1E"/>
          <w:sz w:val="22"/>
        </w:rPr>
        <w:t>Identify high-priority security gaps and operational weaknesses.</w:t>
      </w:r>
    </w:p>
    <w:p>
      <w:pPr>
        <w:pStyle w:val="ListBullet"/>
        <w:spacing w:before="0" w:after="80" w:line="276" w:lineRule="auto"/>
      </w:pPr>
      <w:r>
        <w:rPr>
          <w:rFonts w:ascii="Calibri" w:hAnsi="Calibri"/>
          <w:color w:val="1E1E1E"/>
          <w:sz w:val="22"/>
        </w:rPr>
        <w:t>Discuss governance improvements tailored to your business goals.</w:t>
      </w:r>
    </w:p>
    <w:p>
      <w:pPr>
        <w:pStyle w:val="ListBullet"/>
        <w:spacing w:before="0" w:after="80" w:line="276" w:lineRule="auto"/>
      </w:pPr>
      <w:r>
        <w:rPr>
          <w:rFonts w:ascii="Calibri" w:hAnsi="Calibri"/>
          <w:color w:val="1E1E1E"/>
          <w:sz w:val="22"/>
        </w:rPr>
        <w:t>Develop an actionable roadmap for strengthening enterprise resilience.</w:t>
      </w:r>
    </w:p>
    <w:p>
      <w:pPr>
        <w:spacing w:after="200"/>
      </w:pPr>
    </w:p>
    <w:tbl>
      <w:tblPr>
        <w:tblW w:type="auto" w:w="0"/>
        <w:jc w:val="center"/>
        <w:tblLook w:firstColumn="1" w:firstRow="1" w:lastColumn="0" w:lastRow="0" w:noHBand="0" w:noVBand="1" w:val="04A0"/>
      </w:tblPr>
      <w:tblGrid>
        <w:gridCol w:w="9360"/>
      </w:tblGrid>
      <w:tr>
        <w:tc>
          <w:tcPr>
            <w:tcW w:type="dxa" w:w="9360"/>
            <w:shd w:fill="102A4D"/>
            <w:tcMar>
              <w:top w:w="180" w:type="dxa"/>
              <w:bottom w:w="180" w:type="dxa"/>
              <w:left w:w="200" w:type="dxa"/>
              <w:right w:w="200" w:type="dxa"/>
            </w:tcMar>
          </w:tcPr>
          <w:p>
            <w:pPr>
              <w:spacing w:before="0" w:after="80"/>
              <w:jc w:val="center"/>
            </w:pPr>
            <w:r>
              <w:rPr>
                <w:rFonts w:ascii="Arial" w:hAnsi="Arial"/>
                <w:b/>
                <w:color w:val="FFFFFF"/>
                <w:sz w:val="28"/>
              </w:rPr>
              <w:t>QUAD SOLUTIONS</w:t>
            </w:r>
          </w:p>
          <w:p>
            <w:pPr>
              <w:spacing w:before="0" w:after="80"/>
              <w:jc w:val="center"/>
            </w:pPr>
            <w:r>
              <w:rPr>
                <w:rFonts w:ascii="Arial" w:hAnsi="Arial"/>
                <w:i/>
                <w:color w:val="0096B4"/>
                <w:sz w:val="22"/>
              </w:rPr>
              <w:t>Governance. Risk. Resilience.</w:t>
            </w:r>
          </w:p>
          <w:p>
            <w:pPr>
              <w:spacing w:before="80" w:after="0"/>
              <w:jc w:val="center"/>
            </w:pPr>
            <w:r>
              <w:rPr>
                <w:rFonts w:ascii="Calibri" w:hAnsi="Calibri"/>
                <w:color w:val="F0F0F0"/>
                <w:sz w:val="20"/>
              </w:rPr>
              <w:t>To schedule your complimentary consultation, contact Quad Solutions today.</w:t>
            </w:r>
          </w:p>
        </w:tc>
      </w:tr>
    </w:tbl>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